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BE7" w:rsidRPr="00134678" w:rsidRDefault="00134678" w:rsidP="00134678">
      <w:pPr>
        <w:spacing w:line="240" w:lineRule="auto"/>
        <w:rPr>
          <w:b/>
        </w:rPr>
      </w:pPr>
      <w:r w:rsidRPr="00134678">
        <w:rPr>
          <w:b/>
        </w:rPr>
        <w:t>EXHIBIT 19.2</w:t>
      </w:r>
    </w:p>
    <w:p w:rsidR="00134678" w:rsidRDefault="00134678" w:rsidP="00134678">
      <w:pPr>
        <w:spacing w:line="240" w:lineRule="auto"/>
        <w:rPr>
          <w:b/>
          <w:sz w:val="32"/>
          <w:szCs w:val="32"/>
        </w:rPr>
      </w:pPr>
      <w:r>
        <w:rPr>
          <w:b/>
          <w:noProof/>
          <w:sz w:val="32"/>
          <w:szCs w:val="32"/>
        </w:rPr>
        <mc:AlternateContent>
          <mc:Choice Requires="wps">
            <w:drawing>
              <wp:anchor distT="0" distB="0" distL="114300" distR="114300" simplePos="0" relativeHeight="251659264" behindDoc="0" locked="0" layoutInCell="1" allowOverlap="1" wp14:anchorId="4DD2DA19" wp14:editId="2D05E05A">
                <wp:simplePos x="0" y="0"/>
                <wp:positionH relativeFrom="column">
                  <wp:posOffset>-38100</wp:posOffset>
                </wp:positionH>
                <wp:positionV relativeFrom="paragraph">
                  <wp:posOffset>245111</wp:posOffset>
                </wp:positionV>
                <wp:extent cx="5924550" cy="9524"/>
                <wp:effectExtent l="0" t="0" r="19050" b="29210"/>
                <wp:wrapNone/>
                <wp:docPr id="1" name="Straight Connector 1"/>
                <wp:cNvGraphicFramePr/>
                <a:graphic xmlns:a="http://schemas.openxmlformats.org/drawingml/2006/main">
                  <a:graphicData uri="http://schemas.microsoft.com/office/word/2010/wordprocessingShape">
                    <wps:wsp>
                      <wps:cNvCnPr/>
                      <wps:spPr>
                        <a:xfrm flipV="1">
                          <a:off x="0" y="0"/>
                          <a:ext cx="5924550" cy="9524"/>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9.3pt" to="463.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" strokecolor="black [3213]" strokeweight=".5pt"/>
            </w:pict>
          </mc:Fallback>
        </mc:AlternateContent>
      </w:r>
      <w:r w:rsidRPr="00134678">
        <w:rPr>
          <w:b/>
          <w:sz w:val="32"/>
          <w:szCs w:val="32"/>
        </w:rPr>
        <w:t xml:space="preserve">Thank-You Letter, </w:t>
      </w:r>
      <w:proofErr w:type="gramStart"/>
      <w:r w:rsidRPr="00134678">
        <w:rPr>
          <w:b/>
          <w:sz w:val="32"/>
          <w:szCs w:val="32"/>
        </w:rPr>
        <w:t>The</w:t>
      </w:r>
      <w:proofErr w:type="gramEnd"/>
      <w:r w:rsidRPr="00134678">
        <w:rPr>
          <w:b/>
          <w:sz w:val="32"/>
          <w:szCs w:val="32"/>
        </w:rPr>
        <w:t xml:space="preserve"> Center for the Victims of Torture</w:t>
      </w:r>
    </w:p>
    <w:p w:rsidR="002E55F3" w:rsidRDefault="002E55F3" w:rsidP="00134678">
      <w:pPr>
        <w:spacing w:line="240" w:lineRule="auto"/>
        <w:rPr>
          <w:b/>
          <w:sz w:val="24"/>
          <w:szCs w:val="24"/>
        </w:rPr>
        <w:sectPr w:rsidR="002E55F3" w:rsidSect="00A5519F">
          <w:pgSz w:w="12240" w:h="15840"/>
          <w:pgMar w:top="1440" w:right="1608" w:bottom="1440" w:left="1440" w:header="720" w:footer="720" w:gutter="0"/>
          <w:cols w:space="720"/>
          <w:docGrid w:linePitch="360"/>
        </w:sectPr>
      </w:pPr>
    </w:p>
    <w:p w:rsidR="002E55F3" w:rsidRDefault="00361463" w:rsidP="00856603">
      <w:pPr>
        <w:pBdr>
          <w:right w:val="single" w:sz="4" w:space="1" w:color="auto"/>
        </w:pBdr>
        <w:spacing w:line="240" w:lineRule="auto"/>
        <w:rPr>
          <w:b/>
          <w:sz w:val="56"/>
          <w:szCs w:val="56"/>
        </w:rPr>
      </w:pPr>
      <w:r>
        <w:rPr>
          <w:b/>
          <w:noProof/>
          <w:sz w:val="56"/>
          <w:szCs w:val="56"/>
        </w:rPr>
        <w:lastRenderedPageBreak/>
        <mc:AlternateContent>
          <mc:Choice Requires="wps">
            <w:drawing>
              <wp:anchor distT="0" distB="0" distL="114300" distR="114300" simplePos="0" relativeHeight="251664384" behindDoc="1" locked="0" layoutInCell="1" allowOverlap="1">
                <wp:simplePos x="0" y="0"/>
                <wp:positionH relativeFrom="column">
                  <wp:posOffset>-38100</wp:posOffset>
                </wp:positionH>
                <wp:positionV relativeFrom="paragraph">
                  <wp:posOffset>3810</wp:posOffset>
                </wp:positionV>
                <wp:extent cx="6057900" cy="7543800"/>
                <wp:effectExtent l="38100" t="0" r="38100" b="38100"/>
                <wp:wrapNone/>
                <wp:docPr id="6" name="Rectangle 6"/>
                <wp:cNvGraphicFramePr/>
                <a:graphic xmlns:a="http://schemas.openxmlformats.org/drawingml/2006/main">
                  <a:graphicData uri="http://schemas.microsoft.com/office/word/2010/wordprocessingShape">
                    <wps:wsp>
                      <wps:cNvSpPr/>
                      <wps:spPr>
                        <a:xfrm>
                          <a:off x="0" y="0"/>
                          <a:ext cx="6057900" cy="7543800"/>
                        </a:xfrm>
                        <a:prstGeom prst="rect">
                          <a:avLst/>
                        </a:prstGeom>
                        <a:solidFill>
                          <a:schemeClr val="bg1"/>
                        </a:solidFill>
                        <a:ln>
                          <a:noFill/>
                        </a:ln>
                        <a:effectLst>
                          <a:outerShdw sx="1000" sy="1000" algn="ctr" rotWithShape="0">
                            <a:srgbClr val="000000"/>
                          </a:outerShdw>
                          <a:reflection blurRad="1270000" endPos="0" dist="1270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pt;margin-top:.3pt;width:477pt;height:59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" fillcolor="white [3212]" stroked="f" strokeweight="2pt">
                <v:shadow on="t" type="perspective" color="black" offset="0,0" matrix="655f,,,655f"/>
              </v:rect>
            </w:pict>
          </mc:Fallback>
        </mc:AlternateContent>
      </w:r>
      <w:r w:rsidR="002E55F3" w:rsidRPr="006B352B">
        <w:rPr>
          <w:b/>
          <w:noProof/>
          <w:sz w:val="56"/>
          <w:szCs w:val="56"/>
        </w:rPr>
        <w:drawing>
          <wp:anchor distT="0" distB="0" distL="114300" distR="114300" simplePos="0" relativeHeight="251663360" behindDoc="0" locked="0" layoutInCell="1" allowOverlap="1" wp14:anchorId="3DD4ECCB" wp14:editId="2C8CF30D">
            <wp:simplePos x="0" y="0"/>
            <wp:positionH relativeFrom="margin">
              <wp:posOffset>3467100</wp:posOffset>
            </wp:positionH>
            <wp:positionV relativeFrom="margin">
              <wp:posOffset>819150</wp:posOffset>
            </wp:positionV>
            <wp:extent cx="2314575" cy="11239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t-logo-4color_tagli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4575" cy="1123950"/>
                    </a:xfrm>
                    <a:prstGeom prst="rect">
                      <a:avLst/>
                    </a:prstGeom>
                  </pic:spPr>
                </pic:pic>
              </a:graphicData>
            </a:graphic>
            <wp14:sizeRelH relativeFrom="margin">
              <wp14:pctWidth>0</wp14:pctWidth>
            </wp14:sizeRelH>
            <wp14:sizeRelV relativeFrom="margin">
              <wp14:pctHeight>0</wp14:pctHeight>
            </wp14:sizeRelV>
          </wp:anchor>
        </w:drawing>
      </w:r>
      <w:r w:rsidR="002E55F3" w:rsidRPr="006B352B">
        <w:rPr>
          <w:b/>
          <w:sz w:val="56"/>
          <w:szCs w:val="56"/>
        </w:rPr>
        <w:t xml:space="preserve">Thank you! </w:t>
      </w:r>
    </w:p>
    <w:p w:rsidR="002E55F3" w:rsidRPr="00361463" w:rsidRDefault="002E55F3" w:rsidP="00856603">
      <w:pPr>
        <w:pBdr>
          <w:right w:val="single" w:sz="4" w:space="1" w:color="auto"/>
        </w:pBdr>
        <w:spacing w:line="240" w:lineRule="auto"/>
        <w:ind w:firstLine="284"/>
      </w:pPr>
      <w:r w:rsidRPr="00361463">
        <w:t>December 2, 2011</w:t>
      </w:r>
      <w:r w:rsidRPr="00361463">
        <w:rPr>
          <w:b/>
          <w:noProof/>
        </w:rPr>
        <w:t xml:space="preserve"> </w:t>
      </w:r>
    </w:p>
    <w:p w:rsidR="002E55F3" w:rsidRPr="00361463" w:rsidRDefault="002E55F3" w:rsidP="00856603">
      <w:pPr>
        <w:pBdr>
          <w:right w:val="single" w:sz="4" w:space="1" w:color="auto"/>
        </w:pBdr>
        <w:spacing w:line="240" w:lineRule="auto"/>
        <w:ind w:firstLine="284"/>
      </w:pPr>
      <w:r w:rsidRPr="00361463">
        <w:t xml:space="preserve">Mr. Bill </w:t>
      </w:r>
      <w:proofErr w:type="spellStart"/>
      <w:r w:rsidRPr="00361463">
        <w:t>Rehm</w:t>
      </w:r>
      <w:proofErr w:type="spellEnd"/>
    </w:p>
    <w:p w:rsidR="002E55F3" w:rsidRPr="00361463" w:rsidRDefault="002E55F3" w:rsidP="00856603">
      <w:pPr>
        <w:pBdr>
          <w:right w:val="single" w:sz="4" w:space="1" w:color="auto"/>
        </w:pBdr>
        <w:spacing w:line="240" w:lineRule="auto"/>
        <w:ind w:firstLine="284"/>
      </w:pPr>
      <w:r w:rsidRPr="00361463">
        <w:t>Ms. Joanne Ruby</w:t>
      </w:r>
    </w:p>
    <w:p w:rsidR="002E55F3" w:rsidRPr="00361463" w:rsidRDefault="002E55F3" w:rsidP="00856603">
      <w:pPr>
        <w:pBdr>
          <w:right w:val="single" w:sz="4" w:space="1" w:color="auto"/>
        </w:pBdr>
        <w:spacing w:line="240" w:lineRule="auto"/>
        <w:ind w:firstLine="284"/>
      </w:pPr>
      <w:r w:rsidRPr="00361463">
        <w:t>#########</w:t>
      </w:r>
    </w:p>
    <w:p w:rsidR="002E55F3" w:rsidRPr="00361463" w:rsidRDefault="002E55F3" w:rsidP="00856603">
      <w:pPr>
        <w:pBdr>
          <w:right w:val="single" w:sz="4" w:space="1" w:color="auto"/>
        </w:pBdr>
        <w:spacing w:line="240" w:lineRule="auto"/>
        <w:ind w:firstLine="284"/>
      </w:pPr>
      <w:r w:rsidRPr="00361463">
        <w:t>###############</w:t>
      </w:r>
    </w:p>
    <w:p w:rsidR="002E55F3" w:rsidRPr="00361463" w:rsidRDefault="002E55F3" w:rsidP="00856603">
      <w:pPr>
        <w:pBdr>
          <w:right w:val="single" w:sz="4" w:space="1" w:color="auto"/>
        </w:pBdr>
        <w:spacing w:line="240" w:lineRule="auto"/>
        <w:ind w:firstLine="284"/>
      </w:pPr>
      <w:r w:rsidRPr="00361463">
        <w:t xml:space="preserve">Dear Mr. </w:t>
      </w:r>
      <w:proofErr w:type="spellStart"/>
      <w:r w:rsidRPr="00361463">
        <w:t>Rehm</w:t>
      </w:r>
      <w:proofErr w:type="spellEnd"/>
      <w:r w:rsidRPr="00361463">
        <w:t xml:space="preserve"> and Ms. Ruby</w:t>
      </w:r>
    </w:p>
    <w:p w:rsidR="002E55F3" w:rsidRPr="00361463" w:rsidRDefault="002E55F3" w:rsidP="00856603">
      <w:pPr>
        <w:pBdr>
          <w:right w:val="single" w:sz="4" w:space="1" w:color="auto"/>
        </w:pBdr>
        <w:spacing w:line="240" w:lineRule="auto"/>
        <w:ind w:left="284" w:firstLine="709"/>
        <w:jc w:val="both"/>
      </w:pPr>
      <w:r w:rsidRPr="00361463">
        <w:t>Thank you for your gift of $100.00 to the Center for Victims of Torture, which we received on November 29, 2011. Your support is especially helpful now as we come to the end of 2011 and begin to implement our new plans for 2012.</w:t>
      </w:r>
      <w:bookmarkStart w:id="0" w:name="_GoBack"/>
      <w:bookmarkEnd w:id="0"/>
    </w:p>
    <w:p w:rsidR="002E55F3" w:rsidRPr="00361463" w:rsidRDefault="002E55F3" w:rsidP="00856603">
      <w:pPr>
        <w:pBdr>
          <w:right w:val="single" w:sz="4" w:space="1" w:color="auto"/>
        </w:pBdr>
        <w:spacing w:line="240" w:lineRule="auto"/>
        <w:ind w:left="284" w:firstLine="709"/>
        <w:jc w:val="both"/>
      </w:pPr>
      <w:r w:rsidRPr="00361463">
        <w:t>This past year-in countries all around the world-CVT helped thousands of clients to rebuild lives devastated by torture. Your partnership made this possible.</w:t>
      </w:r>
    </w:p>
    <w:p w:rsidR="002E55F3" w:rsidRPr="00361463" w:rsidRDefault="002E55F3" w:rsidP="00856603">
      <w:pPr>
        <w:pBdr>
          <w:right w:val="single" w:sz="4" w:space="1" w:color="auto"/>
        </w:pBdr>
        <w:spacing w:line="240" w:lineRule="auto"/>
        <w:ind w:left="284" w:firstLine="709"/>
        <w:jc w:val="both"/>
      </w:pPr>
      <w:r w:rsidRPr="00361463">
        <w:t xml:space="preserve">As you may know, in 2011 CVT significantly expanded our work in the </w:t>
      </w:r>
      <w:proofErr w:type="spellStart"/>
      <w:r w:rsidRPr="00361463">
        <w:t>Dadaab</w:t>
      </w:r>
      <w:proofErr w:type="spellEnd"/>
      <w:r w:rsidRPr="00361463">
        <w:t xml:space="preserve"> refugee camps in Kenya, where conditions are especially dire for refugees fleeing Somalia. These camps were originally built to house 90,000 refugees, but are now home to more than 450,000 men, women, and children-including thousands of the torture survivors now receiving care from CVT.</w:t>
      </w:r>
    </w:p>
    <w:p w:rsidR="002E55F3" w:rsidRPr="00361463" w:rsidRDefault="002E55F3" w:rsidP="00856603">
      <w:pPr>
        <w:pBdr>
          <w:right w:val="single" w:sz="4" w:space="1" w:color="auto"/>
        </w:pBdr>
        <w:spacing w:line="240" w:lineRule="auto"/>
        <w:ind w:left="284" w:firstLine="709"/>
        <w:jc w:val="both"/>
      </w:pPr>
      <w:r w:rsidRPr="00361463">
        <w:t xml:space="preserve">And, for more than 26 years we’ve extended care to torture survivors living in Minnesota. This year we’ve helped over 250 clients and more than 500 family members from 42 countries rebuilt their lives. We’ve also developed a new initiative, </w:t>
      </w:r>
      <w:proofErr w:type="gramStart"/>
      <w:r w:rsidRPr="00361463">
        <w:t>Healing</w:t>
      </w:r>
      <w:proofErr w:type="gramEnd"/>
      <w:r w:rsidRPr="00361463">
        <w:t xml:space="preserve"> in Partnership, to help hundreds of arriving refugees who endure mental health symptoms as a result of torture and war-related traumas. By using culturally adapted mental health screening tools, refugees needing mental health care are identified and directed to the best resources within the community.</w:t>
      </w:r>
    </w:p>
    <w:p w:rsidR="002E55F3" w:rsidRPr="00361463" w:rsidRDefault="002E55F3" w:rsidP="00856603">
      <w:pPr>
        <w:pBdr>
          <w:right w:val="single" w:sz="4" w:space="1" w:color="auto"/>
        </w:pBdr>
        <w:spacing w:line="240" w:lineRule="auto"/>
        <w:ind w:left="284" w:firstLine="709"/>
        <w:jc w:val="both"/>
      </w:pPr>
      <w:r w:rsidRPr="00361463">
        <w:t>Thank you again for your continuing and generous support, which makes this work possible.</w:t>
      </w:r>
    </w:p>
    <w:p w:rsidR="002E55F3" w:rsidRPr="00361463" w:rsidRDefault="002E55F3" w:rsidP="00856603">
      <w:pPr>
        <w:pBdr>
          <w:right w:val="single" w:sz="4" w:space="1" w:color="auto"/>
        </w:pBdr>
        <w:spacing w:line="240" w:lineRule="auto"/>
        <w:jc w:val="center"/>
      </w:pPr>
      <w:r w:rsidRPr="00361463">
        <w:t>With warm regards,</w:t>
      </w:r>
    </w:p>
    <w:p w:rsidR="002E55F3" w:rsidRPr="00361463" w:rsidRDefault="002E55F3" w:rsidP="00856603">
      <w:pPr>
        <w:pBdr>
          <w:right w:val="single" w:sz="4" w:space="1" w:color="auto"/>
        </w:pBdr>
        <w:spacing w:line="240" w:lineRule="auto"/>
        <w:jc w:val="center"/>
      </w:pPr>
      <w:r w:rsidRPr="00361463">
        <w:t>Douglas A. Johnson</w:t>
      </w:r>
    </w:p>
    <w:p w:rsidR="002E55F3" w:rsidRPr="00361463" w:rsidRDefault="002E55F3" w:rsidP="00856603">
      <w:pPr>
        <w:pBdr>
          <w:right w:val="single" w:sz="4" w:space="1" w:color="auto"/>
        </w:pBdr>
        <w:spacing w:line="240" w:lineRule="auto"/>
        <w:jc w:val="center"/>
      </w:pPr>
      <w:r w:rsidRPr="00361463">
        <w:t>Executive Director</w:t>
      </w:r>
    </w:p>
    <w:p w:rsidR="002E55F3" w:rsidRPr="00A5519F" w:rsidRDefault="002E55F3" w:rsidP="00856603">
      <w:pPr>
        <w:pBdr>
          <w:right w:val="single" w:sz="4" w:space="1" w:color="auto"/>
        </w:pBdr>
        <w:spacing w:line="240" w:lineRule="auto"/>
        <w:jc w:val="center"/>
        <w:rPr>
          <w:sz w:val="16"/>
          <w:szCs w:val="16"/>
        </w:rPr>
      </w:pPr>
      <w:r>
        <w:rPr>
          <w:noProof/>
          <w:sz w:val="16"/>
          <w:szCs w:val="16"/>
        </w:rPr>
        <mc:AlternateContent>
          <mc:Choice Requires="wps">
            <w:drawing>
              <wp:anchor distT="0" distB="0" distL="114300" distR="114300" simplePos="0" relativeHeight="251661312" behindDoc="0" locked="0" layoutInCell="1" allowOverlap="1" wp14:anchorId="7A7D4E2E" wp14:editId="342D44BB">
                <wp:simplePos x="0" y="0"/>
                <wp:positionH relativeFrom="column">
                  <wp:posOffset>38100</wp:posOffset>
                </wp:positionH>
                <wp:positionV relativeFrom="paragraph">
                  <wp:posOffset>315595</wp:posOffset>
                </wp:positionV>
                <wp:extent cx="5686425" cy="1"/>
                <wp:effectExtent l="0" t="0" r="9525" b="19050"/>
                <wp:wrapNone/>
                <wp:docPr id="3" name="Straight Connector 3"/>
                <wp:cNvGraphicFramePr/>
                <a:graphic xmlns:a="http://schemas.openxmlformats.org/drawingml/2006/main">
                  <a:graphicData uri="http://schemas.microsoft.com/office/word/2010/wordprocessingShape">
                    <wps:wsp>
                      <wps:cNvCnPr/>
                      <wps:spPr>
                        <a:xfrm flipV="1">
                          <a:off x="0" y="0"/>
                          <a:ext cx="5686425" cy="1"/>
                        </a:xfrm>
                        <a:prstGeom prst="line">
                          <a:avLst/>
                        </a:prstGeom>
                        <a:noFill/>
                        <a:ln w="63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3"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24.85pt" to="450.7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" strokecolor="windowText" strokeweight=".5pt"/>
            </w:pict>
          </mc:Fallback>
        </mc:AlternateContent>
      </w:r>
      <w:r w:rsidRPr="00A5519F">
        <w:rPr>
          <w:sz w:val="16"/>
          <w:szCs w:val="16"/>
        </w:rPr>
        <w:t>Contributions to the Center for Victims of Torture are Tax-deductible. No goods or services were provided in return for this gift. Please keep this letter for your tax records.</w:t>
      </w:r>
    </w:p>
    <w:p w:rsidR="002E55F3" w:rsidRDefault="002E55F3" w:rsidP="00856603">
      <w:pPr>
        <w:pBdr>
          <w:right w:val="single" w:sz="4" w:space="1" w:color="auto"/>
        </w:pBdr>
        <w:spacing w:line="240" w:lineRule="auto"/>
        <w:jc w:val="center"/>
        <w:rPr>
          <w:sz w:val="18"/>
          <w:szCs w:val="18"/>
        </w:rPr>
      </w:pPr>
      <w:r w:rsidRPr="00A5519F">
        <w:rPr>
          <w:sz w:val="18"/>
          <w:szCs w:val="18"/>
        </w:rPr>
        <w:t>649 DAYTON</w:t>
      </w:r>
      <w:r>
        <w:rPr>
          <w:sz w:val="18"/>
          <w:szCs w:val="18"/>
        </w:rPr>
        <w:t xml:space="preserve"> AVENUE ST.PAUL, MN 55104  </w:t>
      </w:r>
      <w:r>
        <w:rPr>
          <w:sz w:val="18"/>
          <w:szCs w:val="18"/>
        </w:rPr>
        <w:sym w:font="Symbol" w:char="F0B7"/>
      </w:r>
      <w:r>
        <w:rPr>
          <w:sz w:val="18"/>
          <w:szCs w:val="18"/>
        </w:rPr>
        <w:t xml:space="preserve"> TELEPHONE 1.877.265.8775 </w:t>
      </w:r>
      <w:r>
        <w:rPr>
          <w:sz w:val="18"/>
          <w:szCs w:val="18"/>
        </w:rPr>
        <w:sym w:font="Symbol" w:char="F0B7"/>
      </w:r>
      <w:r>
        <w:rPr>
          <w:sz w:val="18"/>
          <w:szCs w:val="18"/>
        </w:rPr>
        <w:t xml:space="preserve"> FAX 612.436.2600 </w:t>
      </w:r>
      <w:r>
        <w:rPr>
          <w:sz w:val="18"/>
          <w:szCs w:val="18"/>
        </w:rPr>
        <w:sym w:font="Symbol" w:char="F0B7"/>
      </w:r>
      <w:r>
        <w:rPr>
          <w:sz w:val="18"/>
          <w:szCs w:val="18"/>
        </w:rPr>
        <w:t xml:space="preserve"> </w:t>
      </w:r>
      <w:hyperlink r:id="rId6" w:history="1">
        <w:r w:rsidRPr="00A5519F">
          <w:rPr>
            <w:rStyle w:val="Hyperlink"/>
            <w:color w:val="000000" w:themeColor="text1"/>
            <w:sz w:val="18"/>
            <w:szCs w:val="18"/>
            <w:u w:val="none"/>
          </w:rPr>
          <w:t>www.cvt.org</w:t>
        </w:r>
      </w:hyperlink>
    </w:p>
    <w:p w:rsidR="002E55F3" w:rsidRPr="002E55F3" w:rsidRDefault="00361463" w:rsidP="002E55F3">
      <w:pPr>
        <w:spacing w:line="240" w:lineRule="auto"/>
        <w:jc w:val="center"/>
        <w:rPr>
          <w:b/>
          <w:sz w:val="24"/>
          <w:szCs w:val="24"/>
        </w:rPr>
      </w:pPr>
      <w:r>
        <w:rPr>
          <w:b/>
          <w:noProof/>
          <w:sz w:val="24"/>
          <w:szCs w:val="24"/>
        </w:rPr>
        <w:lastRenderedPageBreak/>
        <mc:AlternateContent>
          <mc:Choice Requires="wps">
            <w:drawing>
              <wp:anchor distT="0" distB="0" distL="114300" distR="114300" simplePos="0" relativeHeight="251665408" behindDoc="1" locked="0" layoutInCell="1" allowOverlap="1">
                <wp:simplePos x="0" y="0"/>
                <wp:positionH relativeFrom="column">
                  <wp:posOffset>-152400</wp:posOffset>
                </wp:positionH>
                <wp:positionV relativeFrom="paragraph">
                  <wp:posOffset>-95250</wp:posOffset>
                </wp:positionV>
                <wp:extent cx="6229350" cy="7696200"/>
                <wp:effectExtent l="0" t="0" r="0" b="0"/>
                <wp:wrapNone/>
                <wp:docPr id="7" name="Rectangle 7"/>
                <wp:cNvGraphicFramePr/>
                <a:graphic xmlns:a="http://schemas.openxmlformats.org/drawingml/2006/main">
                  <a:graphicData uri="http://schemas.microsoft.com/office/word/2010/wordprocessingShape">
                    <wps:wsp>
                      <wps:cNvSpPr/>
                      <wps:spPr>
                        <a:xfrm>
                          <a:off x="0" y="0"/>
                          <a:ext cx="6229350" cy="7696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2pt;margin-top:-7.5pt;width:490.5pt;height:60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" fillcolor="white [3212]" stroked="f" strokeweight="2pt"/>
            </w:pict>
          </mc:Fallback>
        </mc:AlternateContent>
      </w:r>
      <w:r w:rsidR="002E55F3" w:rsidRPr="002E55F3">
        <w:rPr>
          <w:b/>
          <w:sz w:val="24"/>
          <w:szCs w:val="24"/>
        </w:rPr>
        <w:t>Does your employer match your contributions to the Center for Victims of Torture?</w:t>
      </w:r>
    </w:p>
    <w:p w:rsidR="002E55F3" w:rsidRPr="00361463" w:rsidRDefault="002E55F3" w:rsidP="002E55F3">
      <w:pPr>
        <w:spacing w:before="240" w:line="240" w:lineRule="auto"/>
        <w:jc w:val="both"/>
      </w:pPr>
      <w:r w:rsidRPr="00361463">
        <w:t>Your contribution to CVT may accomplish even more if your company or organization matches contributions by you and other employees. Some of the many corporations that match gifts to CVT are listed below.</w:t>
      </w:r>
    </w:p>
    <w:p w:rsidR="006B4940" w:rsidRDefault="006B4940" w:rsidP="002E55F3">
      <w:pPr>
        <w:spacing w:line="240" w:lineRule="auto"/>
        <w:rPr>
          <w:sz w:val="24"/>
          <w:szCs w:val="24"/>
        </w:rPr>
        <w:sectPr w:rsidR="006B4940" w:rsidSect="002E55F3">
          <w:type w:val="continuous"/>
          <w:pgSz w:w="12240" w:h="15840"/>
          <w:pgMar w:top="1440" w:right="1608" w:bottom="1440" w:left="1440" w:header="720" w:footer="720" w:gutter="0"/>
          <w:cols w:space="720"/>
          <w:docGrid w:linePitch="360"/>
        </w:sectPr>
      </w:pPr>
    </w:p>
    <w:p w:rsidR="00A5519F" w:rsidRPr="002E55F3" w:rsidRDefault="00A5519F" w:rsidP="002E55F3">
      <w:pPr>
        <w:spacing w:after="0" w:line="240" w:lineRule="auto"/>
        <w:jc w:val="both"/>
        <w:rPr>
          <w:sz w:val="20"/>
          <w:szCs w:val="20"/>
        </w:rPr>
      </w:pPr>
      <w:r w:rsidRPr="002E55F3">
        <w:rPr>
          <w:sz w:val="20"/>
          <w:szCs w:val="20"/>
        </w:rPr>
        <w:lastRenderedPageBreak/>
        <w:t>AIG</w:t>
      </w:r>
    </w:p>
    <w:p w:rsidR="00A5519F" w:rsidRPr="002E55F3" w:rsidRDefault="00A5519F" w:rsidP="002E55F3">
      <w:pPr>
        <w:spacing w:after="0" w:line="240" w:lineRule="auto"/>
        <w:jc w:val="both"/>
        <w:rPr>
          <w:sz w:val="20"/>
          <w:szCs w:val="20"/>
        </w:rPr>
      </w:pPr>
      <w:r w:rsidRPr="002E55F3">
        <w:rPr>
          <w:sz w:val="20"/>
          <w:szCs w:val="20"/>
        </w:rPr>
        <w:t>Alliant Techsystems, Inc.</w:t>
      </w:r>
    </w:p>
    <w:p w:rsidR="00A5519F" w:rsidRPr="002E55F3" w:rsidRDefault="00A5519F" w:rsidP="002E55F3">
      <w:pPr>
        <w:spacing w:after="0" w:line="240" w:lineRule="auto"/>
        <w:jc w:val="both"/>
        <w:rPr>
          <w:sz w:val="20"/>
          <w:szCs w:val="20"/>
        </w:rPr>
      </w:pPr>
      <w:r w:rsidRPr="002E55F3">
        <w:rPr>
          <w:sz w:val="20"/>
          <w:szCs w:val="20"/>
        </w:rPr>
        <w:t>Altria Group, Inc.</w:t>
      </w:r>
    </w:p>
    <w:p w:rsidR="00A5519F" w:rsidRPr="002E55F3" w:rsidRDefault="00A5519F" w:rsidP="002E55F3">
      <w:pPr>
        <w:spacing w:after="0" w:line="240" w:lineRule="auto"/>
        <w:jc w:val="both"/>
        <w:rPr>
          <w:sz w:val="20"/>
          <w:szCs w:val="20"/>
        </w:rPr>
      </w:pPr>
      <w:r w:rsidRPr="002E55F3">
        <w:rPr>
          <w:sz w:val="20"/>
          <w:szCs w:val="20"/>
        </w:rPr>
        <w:t>American Express Foundation</w:t>
      </w:r>
    </w:p>
    <w:p w:rsidR="00A5519F" w:rsidRPr="002E55F3" w:rsidRDefault="00A5519F" w:rsidP="002E55F3">
      <w:pPr>
        <w:spacing w:after="0" w:line="240" w:lineRule="auto"/>
        <w:jc w:val="both"/>
        <w:rPr>
          <w:sz w:val="20"/>
          <w:szCs w:val="20"/>
        </w:rPr>
      </w:pPr>
      <w:r w:rsidRPr="002E55F3">
        <w:rPr>
          <w:sz w:val="20"/>
          <w:szCs w:val="20"/>
        </w:rPr>
        <w:t>Amgen Foundation</w:t>
      </w:r>
    </w:p>
    <w:p w:rsidR="00A5519F" w:rsidRPr="002E55F3" w:rsidRDefault="00A5519F" w:rsidP="002E55F3">
      <w:pPr>
        <w:spacing w:after="0" w:line="240" w:lineRule="auto"/>
        <w:jc w:val="both"/>
        <w:rPr>
          <w:sz w:val="20"/>
          <w:szCs w:val="20"/>
        </w:rPr>
      </w:pPr>
      <w:r w:rsidRPr="002E55F3">
        <w:rPr>
          <w:sz w:val="20"/>
          <w:szCs w:val="20"/>
        </w:rPr>
        <w:t>Aspect</w:t>
      </w:r>
    </w:p>
    <w:p w:rsidR="00A5519F" w:rsidRPr="002E55F3" w:rsidRDefault="00A5519F" w:rsidP="002E55F3">
      <w:pPr>
        <w:spacing w:after="0" w:line="240" w:lineRule="auto"/>
        <w:jc w:val="both"/>
        <w:rPr>
          <w:sz w:val="20"/>
          <w:szCs w:val="20"/>
        </w:rPr>
      </w:pPr>
      <w:r w:rsidRPr="002E55F3">
        <w:rPr>
          <w:sz w:val="20"/>
          <w:szCs w:val="20"/>
        </w:rPr>
        <w:t>BP Foundation, Inc.</w:t>
      </w:r>
    </w:p>
    <w:p w:rsidR="00A5519F" w:rsidRPr="002E55F3" w:rsidRDefault="00A5519F" w:rsidP="002E55F3">
      <w:pPr>
        <w:spacing w:after="0" w:line="240" w:lineRule="auto"/>
        <w:jc w:val="both"/>
        <w:rPr>
          <w:sz w:val="20"/>
          <w:szCs w:val="20"/>
        </w:rPr>
      </w:pPr>
      <w:r w:rsidRPr="002E55F3">
        <w:rPr>
          <w:sz w:val="20"/>
          <w:szCs w:val="20"/>
        </w:rPr>
        <w:t>Briggs and Morgan, LLP</w:t>
      </w:r>
    </w:p>
    <w:p w:rsidR="00A5519F" w:rsidRPr="002E55F3" w:rsidRDefault="00A5519F" w:rsidP="002E55F3">
      <w:pPr>
        <w:spacing w:after="0" w:line="240" w:lineRule="auto"/>
        <w:jc w:val="both"/>
        <w:rPr>
          <w:sz w:val="20"/>
          <w:szCs w:val="20"/>
        </w:rPr>
      </w:pPr>
      <w:r w:rsidRPr="002E55F3">
        <w:rPr>
          <w:sz w:val="20"/>
          <w:szCs w:val="20"/>
        </w:rPr>
        <w:t>Burlington Northern Santa Fe Foundation</w:t>
      </w:r>
    </w:p>
    <w:p w:rsidR="00A5519F" w:rsidRPr="002E55F3" w:rsidRDefault="00A5519F" w:rsidP="002E55F3">
      <w:pPr>
        <w:spacing w:after="0" w:line="240" w:lineRule="auto"/>
        <w:jc w:val="both"/>
        <w:rPr>
          <w:sz w:val="20"/>
          <w:szCs w:val="20"/>
        </w:rPr>
      </w:pPr>
      <w:r w:rsidRPr="002E55F3">
        <w:rPr>
          <w:sz w:val="20"/>
          <w:szCs w:val="20"/>
        </w:rPr>
        <w:t>Cardinal Health Foundation</w:t>
      </w:r>
    </w:p>
    <w:p w:rsidR="00A5519F" w:rsidRPr="002E55F3" w:rsidRDefault="00A5519F" w:rsidP="002E55F3">
      <w:pPr>
        <w:spacing w:after="0" w:line="240" w:lineRule="auto"/>
        <w:jc w:val="both"/>
        <w:rPr>
          <w:sz w:val="20"/>
          <w:szCs w:val="20"/>
        </w:rPr>
      </w:pPr>
      <w:r w:rsidRPr="002E55F3">
        <w:rPr>
          <w:sz w:val="20"/>
          <w:szCs w:val="20"/>
        </w:rPr>
        <w:t>The Clorox Company Foundation</w:t>
      </w:r>
    </w:p>
    <w:p w:rsidR="00A5519F" w:rsidRPr="002E55F3" w:rsidRDefault="00A5519F" w:rsidP="002E55F3">
      <w:pPr>
        <w:spacing w:after="0" w:line="240" w:lineRule="auto"/>
        <w:jc w:val="both"/>
        <w:rPr>
          <w:sz w:val="20"/>
          <w:szCs w:val="20"/>
        </w:rPr>
      </w:pPr>
      <w:r w:rsidRPr="002E55F3">
        <w:rPr>
          <w:sz w:val="20"/>
          <w:szCs w:val="20"/>
        </w:rPr>
        <w:t xml:space="preserve">Community Solutions Fund </w:t>
      </w:r>
    </w:p>
    <w:p w:rsidR="00EF225B" w:rsidRPr="002E55F3" w:rsidRDefault="00EF225B" w:rsidP="002E55F3">
      <w:pPr>
        <w:spacing w:after="0" w:line="240" w:lineRule="auto"/>
        <w:jc w:val="both"/>
        <w:rPr>
          <w:sz w:val="20"/>
          <w:szCs w:val="20"/>
        </w:rPr>
      </w:pPr>
      <w:r w:rsidRPr="002E55F3">
        <w:rPr>
          <w:sz w:val="20"/>
          <w:szCs w:val="20"/>
        </w:rPr>
        <w:t>The Di Salvo Ericson group</w:t>
      </w:r>
    </w:p>
    <w:p w:rsidR="00EF225B" w:rsidRDefault="00EF225B" w:rsidP="002E55F3">
      <w:pPr>
        <w:spacing w:after="0" w:line="240" w:lineRule="auto"/>
        <w:jc w:val="both"/>
        <w:rPr>
          <w:sz w:val="20"/>
          <w:szCs w:val="20"/>
        </w:rPr>
      </w:pPr>
      <w:r w:rsidRPr="002E55F3">
        <w:rPr>
          <w:sz w:val="20"/>
          <w:szCs w:val="20"/>
        </w:rPr>
        <w:t>Dorsey and Whitney Foundation</w:t>
      </w:r>
    </w:p>
    <w:p w:rsidR="002E55F3" w:rsidRDefault="00EF225B" w:rsidP="002E55F3">
      <w:pPr>
        <w:spacing w:after="0" w:line="240" w:lineRule="auto"/>
        <w:jc w:val="both"/>
        <w:rPr>
          <w:sz w:val="20"/>
          <w:szCs w:val="20"/>
        </w:rPr>
      </w:pPr>
      <w:r w:rsidRPr="002E55F3">
        <w:rPr>
          <w:sz w:val="20"/>
          <w:szCs w:val="20"/>
        </w:rPr>
        <w:lastRenderedPageBreak/>
        <w:t>Equifax Foundation</w:t>
      </w:r>
    </w:p>
    <w:p w:rsidR="00EF225B" w:rsidRPr="002E55F3" w:rsidRDefault="00EF225B" w:rsidP="002E55F3">
      <w:pPr>
        <w:spacing w:after="0" w:line="240" w:lineRule="auto"/>
        <w:jc w:val="both"/>
        <w:rPr>
          <w:sz w:val="20"/>
          <w:szCs w:val="20"/>
        </w:rPr>
      </w:pPr>
      <w:r w:rsidRPr="002E55F3">
        <w:rPr>
          <w:sz w:val="20"/>
          <w:szCs w:val="20"/>
        </w:rPr>
        <w:t>Fair Isaac</w:t>
      </w:r>
    </w:p>
    <w:p w:rsidR="00EF225B" w:rsidRPr="002E55F3" w:rsidRDefault="00EF225B" w:rsidP="002E55F3">
      <w:pPr>
        <w:spacing w:after="0" w:line="240" w:lineRule="auto"/>
        <w:jc w:val="both"/>
        <w:rPr>
          <w:sz w:val="20"/>
          <w:szCs w:val="20"/>
        </w:rPr>
      </w:pPr>
      <w:r w:rsidRPr="002E55F3">
        <w:rPr>
          <w:sz w:val="20"/>
          <w:szCs w:val="20"/>
        </w:rPr>
        <w:t>Follett</w:t>
      </w:r>
    </w:p>
    <w:p w:rsidR="00EF225B" w:rsidRPr="002E55F3" w:rsidRDefault="00EF225B" w:rsidP="002E55F3">
      <w:pPr>
        <w:spacing w:after="0" w:line="240" w:lineRule="auto"/>
        <w:jc w:val="both"/>
        <w:rPr>
          <w:sz w:val="20"/>
          <w:szCs w:val="20"/>
        </w:rPr>
      </w:pPr>
      <w:r w:rsidRPr="002E55F3">
        <w:rPr>
          <w:sz w:val="20"/>
          <w:szCs w:val="20"/>
        </w:rPr>
        <w:t>GMAC-RFC</w:t>
      </w:r>
    </w:p>
    <w:p w:rsidR="00EF225B" w:rsidRPr="002E55F3" w:rsidRDefault="00EF225B" w:rsidP="002E55F3">
      <w:pPr>
        <w:spacing w:after="0" w:line="240" w:lineRule="auto"/>
        <w:jc w:val="both"/>
        <w:rPr>
          <w:sz w:val="20"/>
          <w:szCs w:val="20"/>
        </w:rPr>
      </w:pPr>
      <w:proofErr w:type="spellStart"/>
      <w:r w:rsidRPr="002E55F3">
        <w:rPr>
          <w:sz w:val="20"/>
          <w:szCs w:val="20"/>
        </w:rPr>
        <w:t>Hallenland</w:t>
      </w:r>
      <w:proofErr w:type="spellEnd"/>
      <w:r w:rsidRPr="002E55F3">
        <w:rPr>
          <w:sz w:val="20"/>
          <w:szCs w:val="20"/>
        </w:rPr>
        <w:t xml:space="preserve"> </w:t>
      </w:r>
      <w:proofErr w:type="spellStart"/>
      <w:r w:rsidRPr="002E55F3">
        <w:rPr>
          <w:sz w:val="20"/>
          <w:szCs w:val="20"/>
        </w:rPr>
        <w:t>lewis</w:t>
      </w:r>
      <w:proofErr w:type="spellEnd"/>
      <w:r w:rsidRPr="002E55F3">
        <w:rPr>
          <w:sz w:val="20"/>
          <w:szCs w:val="20"/>
        </w:rPr>
        <w:t xml:space="preserve"> </w:t>
      </w:r>
      <w:proofErr w:type="spellStart"/>
      <w:r w:rsidRPr="002E55F3">
        <w:rPr>
          <w:sz w:val="20"/>
          <w:szCs w:val="20"/>
        </w:rPr>
        <w:t>Nilan</w:t>
      </w:r>
      <w:proofErr w:type="spellEnd"/>
      <w:r w:rsidRPr="002E55F3">
        <w:rPr>
          <w:sz w:val="20"/>
          <w:szCs w:val="20"/>
        </w:rPr>
        <w:t xml:space="preserve"> &amp; Johnson LLP</w:t>
      </w:r>
    </w:p>
    <w:p w:rsidR="00EF225B" w:rsidRPr="002E55F3" w:rsidRDefault="00EF225B" w:rsidP="002E55F3">
      <w:pPr>
        <w:spacing w:after="0" w:line="240" w:lineRule="auto"/>
        <w:jc w:val="both"/>
        <w:rPr>
          <w:sz w:val="20"/>
          <w:szCs w:val="20"/>
        </w:rPr>
      </w:pPr>
      <w:r w:rsidRPr="002E55F3">
        <w:rPr>
          <w:sz w:val="20"/>
          <w:szCs w:val="20"/>
        </w:rPr>
        <w:t>Insurance Services Office, Inc.</w:t>
      </w:r>
    </w:p>
    <w:p w:rsidR="00EF225B" w:rsidRPr="002E55F3" w:rsidRDefault="00EF225B" w:rsidP="002E55F3">
      <w:pPr>
        <w:spacing w:after="0" w:line="240" w:lineRule="auto"/>
        <w:jc w:val="both"/>
        <w:rPr>
          <w:sz w:val="20"/>
          <w:szCs w:val="20"/>
        </w:rPr>
      </w:pPr>
      <w:r w:rsidRPr="002E55F3">
        <w:rPr>
          <w:sz w:val="20"/>
          <w:szCs w:val="20"/>
        </w:rPr>
        <w:t>JP Morgan Chase Foundation</w:t>
      </w:r>
    </w:p>
    <w:p w:rsidR="00EF225B" w:rsidRPr="002E55F3" w:rsidRDefault="00EF225B" w:rsidP="002E55F3">
      <w:pPr>
        <w:spacing w:after="0" w:line="240" w:lineRule="auto"/>
        <w:jc w:val="both"/>
        <w:rPr>
          <w:sz w:val="20"/>
          <w:szCs w:val="20"/>
        </w:rPr>
      </w:pPr>
      <w:r w:rsidRPr="002E55F3">
        <w:rPr>
          <w:sz w:val="20"/>
          <w:szCs w:val="20"/>
        </w:rPr>
        <w:t xml:space="preserve">Thrivent Financial </w:t>
      </w:r>
    </w:p>
    <w:p w:rsidR="00EF225B" w:rsidRPr="002E55F3" w:rsidRDefault="00EF225B" w:rsidP="002E55F3">
      <w:pPr>
        <w:spacing w:after="0" w:line="240" w:lineRule="auto"/>
        <w:jc w:val="both"/>
        <w:rPr>
          <w:sz w:val="20"/>
          <w:szCs w:val="20"/>
        </w:rPr>
      </w:pPr>
      <w:r w:rsidRPr="002E55F3">
        <w:rPr>
          <w:sz w:val="20"/>
          <w:szCs w:val="20"/>
        </w:rPr>
        <w:t>Mal Warwick Associates</w:t>
      </w:r>
    </w:p>
    <w:p w:rsidR="00EF225B" w:rsidRPr="002E55F3" w:rsidRDefault="00EF225B" w:rsidP="002E55F3">
      <w:pPr>
        <w:spacing w:after="0" w:line="240" w:lineRule="auto"/>
        <w:jc w:val="both"/>
        <w:rPr>
          <w:sz w:val="20"/>
          <w:szCs w:val="20"/>
        </w:rPr>
      </w:pPr>
      <w:r w:rsidRPr="002E55F3">
        <w:rPr>
          <w:sz w:val="20"/>
          <w:szCs w:val="20"/>
        </w:rPr>
        <w:t>MasterCard International</w:t>
      </w:r>
    </w:p>
    <w:p w:rsidR="00EF225B" w:rsidRPr="002E55F3" w:rsidRDefault="00EF225B" w:rsidP="002E55F3">
      <w:pPr>
        <w:spacing w:after="0" w:line="240" w:lineRule="auto"/>
        <w:jc w:val="both"/>
        <w:rPr>
          <w:sz w:val="20"/>
          <w:szCs w:val="20"/>
        </w:rPr>
      </w:pPr>
      <w:r w:rsidRPr="002E55F3">
        <w:rPr>
          <w:sz w:val="20"/>
          <w:szCs w:val="20"/>
        </w:rPr>
        <w:t>The May Department Stores Company</w:t>
      </w:r>
    </w:p>
    <w:p w:rsidR="00EF225B" w:rsidRPr="002E55F3" w:rsidRDefault="00EF225B" w:rsidP="002E55F3">
      <w:pPr>
        <w:spacing w:after="0" w:line="240" w:lineRule="auto"/>
        <w:jc w:val="both"/>
        <w:rPr>
          <w:sz w:val="20"/>
          <w:szCs w:val="20"/>
        </w:rPr>
      </w:pPr>
      <w:r w:rsidRPr="002E55F3">
        <w:rPr>
          <w:sz w:val="20"/>
          <w:szCs w:val="20"/>
        </w:rPr>
        <w:t>McKnight foundation</w:t>
      </w:r>
    </w:p>
    <w:p w:rsidR="00EF225B" w:rsidRPr="002E55F3" w:rsidRDefault="00EF225B" w:rsidP="002E55F3">
      <w:pPr>
        <w:spacing w:after="0" w:line="240" w:lineRule="auto"/>
        <w:jc w:val="both"/>
        <w:rPr>
          <w:sz w:val="20"/>
          <w:szCs w:val="20"/>
        </w:rPr>
      </w:pPr>
      <w:r w:rsidRPr="002E55F3">
        <w:rPr>
          <w:sz w:val="20"/>
          <w:szCs w:val="20"/>
        </w:rPr>
        <w:t>McMaster-Carr</w:t>
      </w:r>
    </w:p>
    <w:p w:rsidR="00EF225B" w:rsidRPr="002E55F3" w:rsidRDefault="00EF225B" w:rsidP="002E55F3">
      <w:pPr>
        <w:spacing w:after="0" w:line="240" w:lineRule="auto"/>
        <w:jc w:val="both"/>
        <w:rPr>
          <w:sz w:val="20"/>
          <w:szCs w:val="20"/>
        </w:rPr>
      </w:pPr>
      <w:r w:rsidRPr="002E55F3">
        <w:rPr>
          <w:sz w:val="20"/>
          <w:szCs w:val="20"/>
        </w:rPr>
        <w:t>The Meredith Corporation Foundation</w:t>
      </w:r>
    </w:p>
    <w:p w:rsidR="00EF225B" w:rsidRPr="002E55F3" w:rsidRDefault="00EF225B" w:rsidP="002E55F3">
      <w:pPr>
        <w:spacing w:after="0" w:line="240" w:lineRule="auto"/>
        <w:jc w:val="both"/>
        <w:rPr>
          <w:sz w:val="20"/>
          <w:szCs w:val="20"/>
        </w:rPr>
      </w:pPr>
      <w:r w:rsidRPr="002E55F3">
        <w:rPr>
          <w:sz w:val="20"/>
          <w:szCs w:val="20"/>
        </w:rPr>
        <w:t>Metris Foundation</w:t>
      </w:r>
    </w:p>
    <w:p w:rsidR="00EF225B" w:rsidRPr="002E55F3" w:rsidRDefault="00EF225B" w:rsidP="002E55F3">
      <w:pPr>
        <w:spacing w:after="0" w:line="240" w:lineRule="auto"/>
        <w:jc w:val="both"/>
        <w:rPr>
          <w:sz w:val="20"/>
          <w:szCs w:val="20"/>
        </w:rPr>
      </w:pPr>
      <w:r w:rsidRPr="002E55F3">
        <w:rPr>
          <w:sz w:val="20"/>
          <w:szCs w:val="20"/>
        </w:rPr>
        <w:lastRenderedPageBreak/>
        <w:t>Microsoft</w:t>
      </w:r>
    </w:p>
    <w:p w:rsidR="00EF225B" w:rsidRPr="002E55F3" w:rsidRDefault="00EF225B" w:rsidP="002E55F3">
      <w:pPr>
        <w:spacing w:after="0" w:line="240" w:lineRule="auto"/>
        <w:jc w:val="both"/>
        <w:rPr>
          <w:sz w:val="20"/>
          <w:szCs w:val="20"/>
        </w:rPr>
      </w:pPr>
      <w:r w:rsidRPr="002E55F3">
        <w:rPr>
          <w:sz w:val="20"/>
          <w:szCs w:val="20"/>
        </w:rPr>
        <w:t>Moody’s Foundation</w:t>
      </w:r>
    </w:p>
    <w:p w:rsidR="00EF225B" w:rsidRPr="002E55F3" w:rsidRDefault="00EF225B" w:rsidP="002E55F3">
      <w:pPr>
        <w:spacing w:after="0" w:line="240" w:lineRule="auto"/>
        <w:jc w:val="both"/>
        <w:rPr>
          <w:sz w:val="20"/>
          <w:szCs w:val="20"/>
        </w:rPr>
      </w:pPr>
      <w:r w:rsidRPr="002E55F3">
        <w:rPr>
          <w:sz w:val="20"/>
          <w:szCs w:val="20"/>
        </w:rPr>
        <w:t>Nokia</w:t>
      </w:r>
    </w:p>
    <w:p w:rsidR="00EF225B" w:rsidRPr="002E55F3" w:rsidRDefault="00EF225B" w:rsidP="002E55F3">
      <w:pPr>
        <w:spacing w:after="0" w:line="240" w:lineRule="auto"/>
        <w:jc w:val="both"/>
        <w:rPr>
          <w:sz w:val="20"/>
          <w:szCs w:val="20"/>
        </w:rPr>
      </w:pPr>
      <w:r w:rsidRPr="002E55F3">
        <w:rPr>
          <w:sz w:val="20"/>
          <w:szCs w:val="20"/>
        </w:rPr>
        <w:t>Nuveen Investments, LLC</w:t>
      </w:r>
    </w:p>
    <w:p w:rsidR="00EF225B" w:rsidRPr="002E55F3" w:rsidRDefault="00EF225B" w:rsidP="002E55F3">
      <w:pPr>
        <w:spacing w:after="0" w:line="240" w:lineRule="auto"/>
        <w:jc w:val="both"/>
        <w:rPr>
          <w:sz w:val="20"/>
          <w:szCs w:val="20"/>
        </w:rPr>
      </w:pPr>
      <w:r w:rsidRPr="002E55F3">
        <w:rPr>
          <w:sz w:val="20"/>
          <w:szCs w:val="20"/>
        </w:rPr>
        <w:t>Oswald Family Foundation</w:t>
      </w:r>
    </w:p>
    <w:p w:rsidR="00EF225B" w:rsidRPr="002E55F3" w:rsidRDefault="00EF225B" w:rsidP="002E55F3">
      <w:pPr>
        <w:spacing w:after="0" w:line="240" w:lineRule="auto"/>
        <w:jc w:val="both"/>
        <w:rPr>
          <w:sz w:val="20"/>
          <w:szCs w:val="20"/>
        </w:rPr>
      </w:pPr>
      <w:r w:rsidRPr="002E55F3">
        <w:rPr>
          <w:sz w:val="20"/>
          <w:szCs w:val="20"/>
        </w:rPr>
        <w:t xml:space="preserve">The Pew Charitable Trusts </w:t>
      </w:r>
    </w:p>
    <w:p w:rsidR="00EF225B" w:rsidRPr="002E55F3" w:rsidRDefault="00EF225B" w:rsidP="002E55F3">
      <w:pPr>
        <w:spacing w:after="0" w:line="240" w:lineRule="auto"/>
        <w:jc w:val="both"/>
        <w:rPr>
          <w:sz w:val="20"/>
          <w:szCs w:val="20"/>
        </w:rPr>
      </w:pPr>
      <w:r w:rsidRPr="002E55F3">
        <w:rPr>
          <w:sz w:val="20"/>
          <w:szCs w:val="20"/>
        </w:rPr>
        <w:t>Pfizer Foundation</w:t>
      </w:r>
    </w:p>
    <w:p w:rsidR="00EF225B" w:rsidRPr="002E55F3" w:rsidRDefault="00EF225B" w:rsidP="002E55F3">
      <w:pPr>
        <w:spacing w:after="0" w:line="240" w:lineRule="auto"/>
        <w:jc w:val="both"/>
        <w:rPr>
          <w:sz w:val="20"/>
          <w:szCs w:val="20"/>
        </w:rPr>
      </w:pPr>
      <w:r w:rsidRPr="002E55F3">
        <w:rPr>
          <w:sz w:val="20"/>
          <w:szCs w:val="20"/>
        </w:rPr>
        <w:t>Sam’s Club Foundation</w:t>
      </w:r>
    </w:p>
    <w:p w:rsidR="00EF225B" w:rsidRPr="002E55F3" w:rsidRDefault="00EF225B" w:rsidP="002E55F3">
      <w:pPr>
        <w:spacing w:after="0" w:line="240" w:lineRule="auto"/>
        <w:jc w:val="both"/>
        <w:rPr>
          <w:sz w:val="20"/>
          <w:szCs w:val="20"/>
        </w:rPr>
      </w:pPr>
      <w:r w:rsidRPr="002E55F3">
        <w:rPr>
          <w:sz w:val="20"/>
          <w:szCs w:val="20"/>
        </w:rPr>
        <w:t>Schatz Group GMAC Real Estate</w:t>
      </w:r>
    </w:p>
    <w:p w:rsidR="00EF225B" w:rsidRPr="002E55F3" w:rsidRDefault="00EF225B" w:rsidP="002E55F3">
      <w:pPr>
        <w:spacing w:after="0" w:line="240" w:lineRule="auto"/>
        <w:jc w:val="both"/>
        <w:rPr>
          <w:sz w:val="20"/>
          <w:szCs w:val="20"/>
        </w:rPr>
      </w:pPr>
      <w:r w:rsidRPr="002E55F3">
        <w:rPr>
          <w:sz w:val="20"/>
          <w:szCs w:val="20"/>
        </w:rPr>
        <w:t xml:space="preserve">Star Tribune Foundation </w:t>
      </w:r>
    </w:p>
    <w:p w:rsidR="00EF225B" w:rsidRPr="002E55F3" w:rsidRDefault="00EF225B" w:rsidP="002E55F3">
      <w:pPr>
        <w:spacing w:after="0" w:line="240" w:lineRule="auto"/>
        <w:jc w:val="both"/>
        <w:rPr>
          <w:sz w:val="20"/>
          <w:szCs w:val="20"/>
        </w:rPr>
      </w:pPr>
      <w:r w:rsidRPr="002E55F3">
        <w:rPr>
          <w:sz w:val="20"/>
          <w:szCs w:val="20"/>
        </w:rPr>
        <w:t>Thompson West</w:t>
      </w:r>
    </w:p>
    <w:p w:rsidR="00EF225B" w:rsidRPr="002E55F3" w:rsidRDefault="00EF225B" w:rsidP="002E55F3">
      <w:pPr>
        <w:spacing w:after="0" w:line="240" w:lineRule="auto"/>
        <w:jc w:val="both"/>
        <w:rPr>
          <w:sz w:val="20"/>
          <w:szCs w:val="20"/>
        </w:rPr>
      </w:pPr>
      <w:r w:rsidRPr="002E55F3">
        <w:rPr>
          <w:sz w:val="20"/>
          <w:szCs w:val="20"/>
        </w:rPr>
        <w:t>Tyco</w:t>
      </w:r>
    </w:p>
    <w:p w:rsidR="00EF225B" w:rsidRPr="002E55F3" w:rsidRDefault="00EF225B" w:rsidP="002E55F3">
      <w:pPr>
        <w:spacing w:after="0" w:line="240" w:lineRule="auto"/>
        <w:jc w:val="both"/>
        <w:rPr>
          <w:sz w:val="20"/>
          <w:szCs w:val="20"/>
        </w:rPr>
      </w:pPr>
      <w:r w:rsidRPr="002E55F3">
        <w:rPr>
          <w:sz w:val="20"/>
          <w:szCs w:val="20"/>
        </w:rPr>
        <w:t>U.S. Bancorp</w:t>
      </w:r>
    </w:p>
    <w:p w:rsidR="00EF225B" w:rsidRPr="002E55F3" w:rsidRDefault="00EF225B" w:rsidP="002E55F3">
      <w:pPr>
        <w:spacing w:after="0" w:line="240" w:lineRule="auto"/>
        <w:jc w:val="both"/>
        <w:rPr>
          <w:sz w:val="20"/>
          <w:szCs w:val="20"/>
        </w:rPr>
      </w:pPr>
      <w:r w:rsidRPr="002E55F3">
        <w:rPr>
          <w:sz w:val="20"/>
          <w:szCs w:val="20"/>
        </w:rPr>
        <w:t>W.K. Kellogg Foundation</w:t>
      </w:r>
    </w:p>
    <w:p w:rsidR="00EF225B" w:rsidRPr="002E55F3" w:rsidRDefault="00EF225B" w:rsidP="002E55F3">
      <w:pPr>
        <w:spacing w:after="0" w:line="240" w:lineRule="auto"/>
        <w:jc w:val="both"/>
        <w:rPr>
          <w:sz w:val="20"/>
          <w:szCs w:val="20"/>
        </w:rPr>
      </w:pPr>
      <w:r w:rsidRPr="002E55F3">
        <w:rPr>
          <w:sz w:val="20"/>
          <w:szCs w:val="20"/>
        </w:rPr>
        <w:t>Xcel Energy Foundation</w:t>
      </w:r>
    </w:p>
    <w:p w:rsidR="006B4940" w:rsidRPr="002E55F3" w:rsidRDefault="006B4940" w:rsidP="002E55F3">
      <w:pPr>
        <w:spacing w:after="0" w:line="240" w:lineRule="auto"/>
        <w:rPr>
          <w:sz w:val="20"/>
          <w:szCs w:val="20"/>
        </w:rPr>
        <w:sectPr w:rsidR="006B4940" w:rsidRPr="002E55F3" w:rsidSect="002E55F3">
          <w:type w:val="continuous"/>
          <w:pgSz w:w="12240" w:h="15840"/>
          <w:pgMar w:top="1440" w:right="1750" w:bottom="1440" w:left="1440" w:header="720" w:footer="720" w:gutter="0"/>
          <w:cols w:num="3" w:space="1866"/>
          <w:docGrid w:linePitch="360"/>
        </w:sectPr>
      </w:pPr>
    </w:p>
    <w:p w:rsidR="00EF225B" w:rsidRDefault="00EF225B" w:rsidP="002E55F3">
      <w:pPr>
        <w:spacing w:after="0" w:line="240" w:lineRule="auto"/>
        <w:rPr>
          <w:sz w:val="24"/>
          <w:szCs w:val="24"/>
        </w:rPr>
      </w:pPr>
    </w:p>
    <w:p w:rsidR="002E55F3" w:rsidRDefault="002E55F3" w:rsidP="002E55F3">
      <w:pPr>
        <w:spacing w:after="0" w:line="240" w:lineRule="auto"/>
        <w:rPr>
          <w:sz w:val="24"/>
          <w:szCs w:val="24"/>
        </w:rPr>
      </w:pPr>
    </w:p>
    <w:p w:rsidR="002E55F3" w:rsidRPr="002E55F3" w:rsidRDefault="002E55F3" w:rsidP="002E55F3">
      <w:pPr>
        <w:spacing w:line="240" w:lineRule="auto"/>
        <w:ind w:firstLine="851"/>
        <w:jc w:val="center"/>
        <w:rPr>
          <w:b/>
          <w:sz w:val="24"/>
          <w:szCs w:val="24"/>
        </w:rPr>
      </w:pPr>
      <w:r w:rsidRPr="002E55F3">
        <w:rPr>
          <w:b/>
          <w:sz w:val="24"/>
          <w:szCs w:val="24"/>
        </w:rPr>
        <w:t>Check with your personnel department or human resources manager to find out if your company will match your gifts to CVT.</w:t>
      </w:r>
    </w:p>
    <w:p w:rsidR="002E55F3" w:rsidRPr="002E55F3" w:rsidRDefault="002E55F3" w:rsidP="00361463">
      <w:pPr>
        <w:spacing w:line="240" w:lineRule="auto"/>
        <w:jc w:val="both"/>
        <w:rPr>
          <w:sz w:val="20"/>
          <w:szCs w:val="20"/>
        </w:rPr>
      </w:pPr>
      <w:r w:rsidRPr="002E55F3">
        <w:rPr>
          <w:b/>
          <w:sz w:val="24"/>
          <w:szCs w:val="24"/>
        </w:rPr>
        <w:t>We use your contributions wisely!</w:t>
      </w:r>
      <w:r>
        <w:rPr>
          <w:sz w:val="24"/>
          <w:szCs w:val="24"/>
        </w:rPr>
        <w:t xml:space="preserve"> </w:t>
      </w:r>
      <w:r w:rsidRPr="002E55F3">
        <w:rPr>
          <w:sz w:val="20"/>
          <w:szCs w:val="20"/>
        </w:rPr>
        <w:t xml:space="preserve">We are proud that </w:t>
      </w:r>
      <w:r w:rsidRPr="002E55F3">
        <w:rPr>
          <w:b/>
          <w:color w:val="000000" w:themeColor="text1"/>
          <w:sz w:val="20"/>
          <w:szCs w:val="20"/>
        </w:rPr>
        <w:t>91 cents of every dollar</w:t>
      </w:r>
      <w:r w:rsidRPr="002E55F3">
        <w:rPr>
          <w:color w:val="000000" w:themeColor="text1"/>
          <w:sz w:val="20"/>
          <w:szCs w:val="20"/>
        </w:rPr>
        <w:t xml:space="preserve"> </w:t>
      </w:r>
      <w:r w:rsidRPr="002E55F3">
        <w:rPr>
          <w:sz w:val="20"/>
          <w:szCs w:val="20"/>
        </w:rPr>
        <w:t>contributed goes directly to programs and projects that benefit torture survivors. The Center for Victims of Torture meets all the requirements of The American Institute of Philanthropy and Charities Council.</w:t>
      </w:r>
    </w:p>
    <w:p w:rsidR="002E55F3" w:rsidRPr="002E55F3" w:rsidRDefault="002E55F3" w:rsidP="00361463">
      <w:pPr>
        <w:spacing w:line="240" w:lineRule="auto"/>
        <w:jc w:val="both"/>
        <w:rPr>
          <w:sz w:val="20"/>
          <w:szCs w:val="20"/>
        </w:rPr>
      </w:pPr>
      <w:r w:rsidRPr="002E55F3">
        <w:rPr>
          <w:sz w:val="20"/>
          <w:szCs w:val="20"/>
        </w:rPr>
        <w:t xml:space="preserve">You may visit our website, </w:t>
      </w:r>
      <w:hyperlink r:id="rId7" w:history="1">
        <w:r w:rsidRPr="002E55F3">
          <w:rPr>
            <w:rStyle w:val="Hyperlink"/>
            <w:color w:val="000000" w:themeColor="text1"/>
            <w:sz w:val="20"/>
            <w:szCs w:val="20"/>
          </w:rPr>
          <w:t>www.cvt.org</w:t>
        </w:r>
      </w:hyperlink>
      <w:r w:rsidRPr="002E55F3">
        <w:rPr>
          <w:color w:val="000000" w:themeColor="text1"/>
          <w:sz w:val="20"/>
          <w:szCs w:val="20"/>
        </w:rPr>
        <w:t xml:space="preserve">, </w:t>
      </w:r>
      <w:r w:rsidRPr="002E55F3">
        <w:rPr>
          <w:sz w:val="20"/>
          <w:szCs w:val="20"/>
        </w:rPr>
        <w:t>to view our annual report and financial statements. You may also request a free copy of our audited financial reports by writing us at 649 Dayton Avenue, St. Paul, MN 55104.</w:t>
      </w:r>
    </w:p>
    <w:p w:rsidR="002E55F3" w:rsidRPr="002E55F3" w:rsidRDefault="002E55F3" w:rsidP="00361463">
      <w:pPr>
        <w:spacing w:line="240" w:lineRule="auto"/>
        <w:jc w:val="both"/>
        <w:rPr>
          <w:sz w:val="20"/>
          <w:szCs w:val="20"/>
        </w:rPr>
      </w:pPr>
      <w:r w:rsidRPr="002E55F3">
        <w:rPr>
          <w:sz w:val="20"/>
          <w:szCs w:val="20"/>
        </w:rPr>
        <w:t>The Center for Victims of Torture can be found under Human/Civil Rights organizations in the Combines Federal Campaign, Number 11943.</w:t>
      </w:r>
    </w:p>
    <w:p w:rsidR="002E55F3" w:rsidRPr="00A5519F" w:rsidRDefault="002E55F3" w:rsidP="002E55F3">
      <w:pPr>
        <w:spacing w:after="0" w:line="240" w:lineRule="auto"/>
        <w:rPr>
          <w:sz w:val="24"/>
          <w:szCs w:val="24"/>
        </w:rPr>
      </w:pPr>
    </w:p>
    <w:sectPr w:rsidR="002E55F3" w:rsidRPr="00A5519F" w:rsidSect="002E55F3">
      <w:type w:val="continuous"/>
      <w:pgSz w:w="12240" w:h="15840"/>
      <w:pgMar w:top="1440" w:right="16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678"/>
    <w:rsid w:val="000042AC"/>
    <w:rsid w:val="00134678"/>
    <w:rsid w:val="002E55F3"/>
    <w:rsid w:val="00361463"/>
    <w:rsid w:val="006B352B"/>
    <w:rsid w:val="006B4940"/>
    <w:rsid w:val="00856603"/>
    <w:rsid w:val="00A5519F"/>
    <w:rsid w:val="00C46B6D"/>
    <w:rsid w:val="00E95BE7"/>
    <w:rsid w:val="00EF2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3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52B"/>
    <w:rPr>
      <w:rFonts w:ascii="Tahoma" w:hAnsi="Tahoma" w:cs="Tahoma"/>
      <w:sz w:val="16"/>
      <w:szCs w:val="16"/>
    </w:rPr>
  </w:style>
  <w:style w:type="character" w:styleId="Hyperlink">
    <w:name w:val="Hyperlink"/>
    <w:basedOn w:val="DefaultParagraphFont"/>
    <w:uiPriority w:val="99"/>
    <w:unhideWhenUsed/>
    <w:rsid w:val="00A551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3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52B"/>
    <w:rPr>
      <w:rFonts w:ascii="Tahoma" w:hAnsi="Tahoma" w:cs="Tahoma"/>
      <w:sz w:val="16"/>
      <w:szCs w:val="16"/>
    </w:rPr>
  </w:style>
  <w:style w:type="character" w:styleId="Hyperlink">
    <w:name w:val="Hyperlink"/>
    <w:basedOn w:val="DefaultParagraphFont"/>
    <w:uiPriority w:val="99"/>
    <w:unhideWhenUsed/>
    <w:rsid w:val="00A551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vt.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vt.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HP110</dc:creator>
  <cp:lastModifiedBy>HP110</cp:lastModifiedBy>
  <cp:revision>1</cp:revision>
  <dcterms:created xsi:type="dcterms:W3CDTF">2014-05-20T07:10:00Z</dcterms:created>
  <dcterms:modified xsi:type="dcterms:W3CDTF">2014-05-20T08:48:00Z</dcterms:modified>
</cp:coreProperties>
</file>